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/>
          <w:b/>
          <w:bCs/>
          <w:sz w:val="24"/>
          <w:szCs w:val="24"/>
        </w:rPr>
        <w:t>Załącznik Nr 2 do regulaminu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PROCEDUR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UDZIELANIA ZAMÓWIEŃ PUBLICZNYCH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WARTOŚCI SZACUNKOWEJ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NIEPRZEKRACZAJĄCEJ RÓWNOWARTOŚCI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KWOTY 30 000 EURO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bCs/>
          <w:spacing w:val="0"/>
          <w:sz w:val="24"/>
          <w:szCs w:val="24"/>
        </w:rPr>
        <w:t>Znak sprawy</w:t>
      </w:r>
      <w:r>
        <w:rPr>
          <w:rFonts w:cs="Times New Roman"/>
          <w:b/>
          <w:bCs/>
          <w:sz w:val="24"/>
          <w:szCs w:val="24"/>
        </w:rPr>
        <w:t xml:space="preserve">: 14/2016 </w:t>
      </w:r>
      <w:r>
        <w:rPr>
          <w:rFonts w:cs="Times New Roman"/>
          <w:sz w:val="24"/>
          <w:szCs w:val="24"/>
        </w:rPr>
        <w:t xml:space="preserve">                                          </w:t>
        <w:tab/>
        <w:tab/>
        <w:tab/>
        <w:tab/>
      </w:r>
      <w:r>
        <w:rPr>
          <w:rFonts w:cs="Times New Roman"/>
          <w:spacing w:val="0"/>
          <w:sz w:val="24"/>
          <w:szCs w:val="24"/>
        </w:rPr>
        <w:t xml:space="preserve"> Opoczno, 8.12.2016</w:t>
      </w:r>
    </w:p>
    <w:p>
      <w:pPr>
        <w:pStyle w:val="Zawartotabeli"/>
        <w:snapToGrid w:val="false"/>
        <w:spacing w:before="0" w:after="0"/>
        <w:jc w:val="left"/>
        <w:rPr>
          <w:rFonts w:ascii="Times New Roman" w:hAnsi="Times New Roman" w:cs="Times New Roman"/>
          <w:b/>
          <w:b/>
          <w:bCs/>
          <w:spacing w:val="0"/>
          <w:sz w:val="24"/>
          <w:szCs w:val="24"/>
        </w:rPr>
      </w:pPr>
      <w:r>
        <w:rPr>
          <w:rFonts w:cs="Times New Roman"/>
          <w:b/>
          <w:bCs/>
          <w:spacing w:val="0"/>
          <w:sz w:val="24"/>
          <w:szCs w:val="24"/>
        </w:rPr>
        <w:t>DTE 2310/79/16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pacing w:val="0"/>
          <w:sz w:val="24"/>
          <w:szCs w:val="24"/>
        </w:rPr>
      </w:pPr>
      <w:r>
        <w:rPr>
          <w:rFonts w:cs="Times New Roman"/>
          <w:b/>
          <w:bCs/>
          <w:spacing w:val="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ZAPYTANIE CENOWE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dotyczące zamówień powyżej 2 000 euro i poniżej 30 000 euro</w:t>
      </w:r>
    </w:p>
    <w:p>
      <w:pPr>
        <w:pStyle w:val="Normal"/>
        <w:numPr>
          <w:ilvl w:val="0"/>
          <w:numId w:val="0"/>
        </w:numPr>
        <w:ind w:left="720" w:right="0" w:hanging="360"/>
        <w:rPr>
          <w:rFonts w:ascii="Arial" w:hAnsi="Arial" w:cs="Arial"/>
          <w:color w:val="000000"/>
          <w:sz w:val="20"/>
          <w:highlight w:val="white"/>
        </w:rPr>
      </w:pPr>
      <w:r>
        <w:rPr>
          <w:rFonts w:cs="Arial" w:ascii="Arial" w:hAnsi="Arial"/>
          <w:color w:val="000000"/>
          <w:sz w:val="20"/>
          <w:highlight w:val="white"/>
        </w:rPr>
      </w:r>
    </w:p>
    <w:p>
      <w:pPr>
        <w:pStyle w:val="Normal"/>
        <w:rPr>
          <w:rFonts w:ascii="Arial" w:hAnsi="Arial" w:cs="Arial"/>
          <w:color w:val="000000"/>
          <w:sz w:val="20"/>
          <w:highlight w:val="white"/>
        </w:rPr>
      </w:pPr>
      <w:r>
        <w:rPr>
          <w:rFonts w:cs="Arial" w:ascii="Arial" w:hAnsi="Arial"/>
          <w:color w:val="000000"/>
          <w:sz w:val="20"/>
          <w:highlight w:val="white"/>
        </w:rPr>
      </w:r>
    </w:p>
    <w:p>
      <w:pPr>
        <w:pStyle w:val="Normal"/>
        <w:jc w:val="left"/>
        <w:rPr/>
      </w:pPr>
      <w:r>
        <w:rPr>
          <w:rFonts w:cs="Arial" w:ascii="Arial" w:hAnsi="Arial"/>
          <w:color w:val="000000"/>
          <w:sz w:val="20"/>
          <w:highlight w:val="white"/>
        </w:rPr>
        <w:t xml:space="preserve">SP ZOZ SZPITAL POWIATOWY IM. E. BIERNACKIEGO W OPOCZNIE </w:t>
      </w:r>
      <w:r>
        <w:rPr>
          <w:rFonts w:cs="Arial" w:ascii="Arial" w:hAnsi="Arial"/>
          <w:b w:val="false"/>
          <w:sz w:val="20"/>
        </w:rPr>
        <w:t xml:space="preserve">zwraca się z prośbą o złożenie oferty w trybie zapytania cenowe na </w:t>
      </w:r>
      <w:r>
        <w:rPr>
          <w:rFonts w:cs="Arial" w:ascii="Arial" w:hAnsi="Arial"/>
          <w:b/>
          <w:bCs/>
          <w:sz w:val="22"/>
          <w:szCs w:val="22"/>
        </w:rPr>
        <w:t xml:space="preserve">Dostawę licencji i wdrożenie oprogramowania części administracyjnej wraz z migracją danych </w:t>
      </w:r>
      <w:bookmarkStart w:id="0" w:name="__DdeLink__6639_1416251390"/>
      <w:r>
        <w:rPr>
          <w:rFonts w:cs="Arial" w:ascii="Arial" w:hAnsi="Arial"/>
          <w:b/>
          <w:bCs/>
          <w:sz w:val="22"/>
          <w:szCs w:val="22"/>
        </w:rPr>
        <w:t>dla SP ZOZ Szpitala Powiatowego im. Edmunda Biernackiego w Opocznie.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BodyText2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  <w:tab w:val="left" w:pos="1740" w:leader="none"/>
        </w:tabs>
        <w:suppressAutoHyphens w:val="true"/>
        <w:ind w:left="720" w:right="0" w:hanging="284"/>
        <w:jc w:val="both"/>
        <w:rPr>
          <w:b/>
          <w:b/>
          <w:bCs/>
        </w:rPr>
      </w:pPr>
      <w:r>
        <w:rPr>
          <w:rFonts w:cs="Arial" w:ascii="Arial" w:hAnsi="Arial"/>
          <w:b/>
          <w:bCs/>
          <w:i/>
          <w:sz w:val="20"/>
        </w:rPr>
        <w:t>Opis przedmiotu zamówienia:</w:t>
      </w:r>
      <w:r>
        <w:rPr>
          <w:rFonts w:cs="Arial" w:ascii="Arial" w:hAnsi="Arial"/>
          <w:b/>
          <w:bCs/>
          <w:sz w:val="20"/>
        </w:rPr>
        <w:t xml:space="preserve"> </w:t>
      </w:r>
    </w:p>
    <w:p>
      <w:pPr>
        <w:pStyle w:val="Normal"/>
        <w:tabs>
          <w:tab w:val="left" w:pos="1740" w:leader="none"/>
        </w:tabs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before="0" w:after="120"/>
        <w:ind w:left="616" w:right="0" w:hanging="4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Udzielenie licencji na korzystanie z Oprogramowania Aplikacyjnego wraz z 12-to miesięcznym nadzorem autorskim– zakres i funkcjonalność określa druk nr 3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before="0" w:after="120"/>
        <w:ind w:left="616" w:right="0" w:hanging="4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Świadczenie usług instalacji Oprogramowania Aplikacyjnego na Serwerze (Serwerach) i Dedykowanych Stacjach Roboczych, 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before="0" w:after="120"/>
        <w:ind w:left="616" w:right="0" w:hanging="4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Świadczenie Usług Wdrożenia (konfiguracji, szkoleń i uruchomienia) dotyczących Oprogramowania Aplikacyjnego, </w:t>
      </w:r>
    </w:p>
    <w:p>
      <w:pPr>
        <w:pStyle w:val="Normal"/>
        <w:numPr>
          <w:ilvl w:val="0"/>
          <w:numId w:val="6"/>
        </w:numPr>
        <w:tabs>
          <w:tab w:val="left" w:pos="851" w:leader="none"/>
        </w:tabs>
        <w:spacing w:before="0" w:after="120"/>
        <w:ind w:left="616" w:right="0" w:hanging="435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Migracja danych z obecnie użytkowanych przez Zamawiającego systemów części administracyjnej.</w:t>
      </w:r>
    </w:p>
    <w:p>
      <w:pPr>
        <w:pStyle w:val="Normal"/>
        <w:spacing w:before="0" w:after="120"/>
        <w:ind w:left="851" w:right="0" w:hanging="0"/>
        <w:jc w:val="both"/>
        <w:rPr/>
      </w:pPr>
      <w:r>
        <w:rPr>
          <w:rFonts w:cs="Arial" w:ascii="Arial" w:hAnsi="Arial"/>
          <w:b w:val="false"/>
          <w:sz w:val="20"/>
        </w:rPr>
        <w:t>Obecnie Zamawiający użytkuje system PSKP w części Kadrowo-Płacowej oraz programy działające w  DOS w części Finansowo-Księgowej.</w:t>
      </w:r>
    </w:p>
    <w:p>
      <w:pPr>
        <w:pStyle w:val="Normal"/>
        <w:tabs>
          <w:tab w:val="left" w:pos="1740" w:leader="none"/>
        </w:tabs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390" w:leader="none"/>
          <w:tab w:val="left" w:pos="1740" w:leader="none"/>
        </w:tabs>
        <w:suppressAutoHyphens w:val="true"/>
        <w:bidi w:val="0"/>
        <w:spacing w:lineRule="auto" w:line="240" w:before="0" w:after="0"/>
        <w:ind w:left="720" w:right="0" w:hanging="737"/>
        <w:contextualSpacing/>
        <w:jc w:val="both"/>
        <w:rPr/>
      </w:pPr>
      <w:r>
        <w:rPr>
          <w:rFonts w:cs="Arial" w:ascii="Arial" w:hAnsi="Arial"/>
          <w:i/>
          <w:sz w:val="20"/>
        </w:rPr>
        <w:t>Termin realizacji zamówienia</w:t>
      </w:r>
      <w:r>
        <w:rPr>
          <w:rFonts w:cs="Arial" w:ascii="Arial" w:hAnsi="Arial"/>
          <w:sz w:val="20"/>
        </w:rPr>
        <w:t xml:space="preserve">: </w:t>
      </w:r>
    </w:p>
    <w:p>
      <w:pPr>
        <w:pStyle w:val="ListParagraph"/>
        <w:widowControl/>
        <w:tabs>
          <w:tab w:val="left" w:pos="1740" w:leader="none"/>
        </w:tabs>
        <w:suppressAutoHyphens w:val="true"/>
        <w:bidi w:val="0"/>
        <w:spacing w:lineRule="auto" w:line="240" w:before="0" w:after="0"/>
        <w:ind w:left="737" w:right="0" w:hanging="283"/>
        <w:contextualSpacing/>
        <w:jc w:val="both"/>
        <w:rPr/>
      </w:pPr>
      <w:r>
        <w:rPr>
          <w:rFonts w:cs="Arial" w:ascii="Arial" w:hAnsi="Arial"/>
          <w:sz w:val="20"/>
        </w:rPr>
        <w:t xml:space="preserve">- </w:t>
      </w:r>
      <w:r>
        <w:rPr>
          <w:rFonts w:cs="Arial" w:ascii="Arial" w:hAnsi="Arial"/>
          <w:b w:val="false"/>
          <w:sz w:val="20"/>
        </w:rPr>
        <w:t>dostawa licencji do 14 dni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 w:val="false"/>
          <w:sz w:val="20"/>
        </w:rPr>
        <w:t xml:space="preserve">od momentu podpisania umowy </w:t>
      </w:r>
    </w:p>
    <w:p>
      <w:pPr>
        <w:pStyle w:val="ListParagraph"/>
        <w:widowControl/>
        <w:tabs>
          <w:tab w:val="left" w:pos="1740" w:leader="none"/>
        </w:tabs>
        <w:suppressAutoHyphens w:val="true"/>
        <w:bidi w:val="0"/>
        <w:spacing w:lineRule="auto" w:line="240" w:before="0" w:after="0"/>
        <w:ind w:left="737" w:right="0" w:hanging="283"/>
        <w:contextualSpacing/>
        <w:jc w:val="both"/>
        <w:rPr/>
      </w:pPr>
      <w:r>
        <w:rPr>
          <w:rFonts w:cs="Arial" w:ascii="Arial" w:hAnsi="Arial"/>
          <w:sz w:val="20"/>
        </w:rPr>
        <w:t>-</w:t>
      </w:r>
      <w:r>
        <w:rPr>
          <w:rFonts w:cs="Arial" w:ascii="Arial" w:hAnsi="Arial"/>
          <w:b w:val="false"/>
          <w:sz w:val="20"/>
        </w:rPr>
        <w:t xml:space="preserve"> świadczenie nadzoru autorskiego 12 miesięcy od momentu podpisania umowy</w:t>
      </w:r>
    </w:p>
    <w:p>
      <w:pPr>
        <w:pStyle w:val="ListParagraph"/>
        <w:widowControl/>
        <w:tabs>
          <w:tab w:val="left" w:pos="1740" w:leader="none"/>
        </w:tabs>
        <w:suppressAutoHyphens w:val="true"/>
        <w:bidi w:val="0"/>
        <w:spacing w:lineRule="auto" w:line="240" w:before="0" w:after="0"/>
        <w:ind w:left="737" w:right="0" w:hanging="283"/>
        <w:contextualSpacing/>
        <w:jc w:val="both"/>
        <w:rPr/>
      </w:pPr>
      <w:r>
        <w:rPr>
          <w:rFonts w:cs="Arial" w:ascii="Arial" w:hAnsi="Arial"/>
          <w:sz w:val="20"/>
        </w:rPr>
        <w:t>-</w:t>
      </w:r>
      <w:r>
        <w:rPr>
          <w:rFonts w:cs="Arial" w:ascii="Arial" w:hAnsi="Arial"/>
          <w:b w:val="false"/>
          <w:sz w:val="20"/>
        </w:rPr>
        <w:t xml:space="preserve"> pozostałe elementy zgodnie z projektem umowy.</w:t>
      </w:r>
    </w:p>
    <w:p>
      <w:pPr>
        <w:pStyle w:val="ListParagraph"/>
        <w:tabs>
          <w:tab w:val="left" w:pos="1740" w:leader="none"/>
        </w:tabs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3. Sposób składania oferty: </w:t>
      </w:r>
    </w:p>
    <w:p>
      <w:pPr>
        <w:pStyle w:val="Normal"/>
        <w:numPr>
          <w:ilvl w:val="0"/>
          <w:numId w:val="5"/>
        </w:numPr>
        <w:suppressAutoHyphens w:val="true"/>
        <w:jc w:val="left"/>
        <w:rPr/>
      </w:pPr>
      <w:r>
        <w:rPr>
          <w:rFonts w:cs="Arial" w:ascii="Arial" w:hAnsi="Arial"/>
          <w:b w:val="false"/>
          <w:sz w:val="20"/>
        </w:rPr>
        <w:t xml:space="preserve">Ofertę należy złożyć w terminie do dnia </w:t>
      </w:r>
      <w:r>
        <w:rPr>
          <w:rFonts w:cs="Arial" w:ascii="Arial" w:hAnsi="Arial"/>
          <w:b/>
          <w:bCs/>
          <w:color w:val="000000"/>
          <w:sz w:val="20"/>
        </w:rPr>
        <w:t>15.12.2016r. godz. 12.00.</w:t>
        <w:br/>
      </w:r>
      <w:r>
        <w:rPr>
          <w:rFonts w:cs="Times New Roman" w:ascii="Arial" w:hAnsi="Arial"/>
          <w:b/>
          <w:bCs/>
          <w:color w:val="000000"/>
          <w:sz w:val="20"/>
          <w:szCs w:val="20"/>
        </w:rPr>
        <w:t xml:space="preserve">Miejsce złożenia oferty i sposób przygotowania oferty: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3301" w:leader="none"/>
        </w:tabs>
        <w:spacing w:lineRule="exact" w:line="274" w:before="0" w:after="0"/>
        <w:rPr>
          <w:sz w:val="22"/>
          <w:szCs w:val="22"/>
        </w:rPr>
      </w:pPr>
      <w:r>
        <w:rPr>
          <w:rFonts w:cs="Times New Roman" w:ascii="Arial" w:hAnsi="Arial"/>
          <w:b/>
          <w:bCs/>
          <w:sz w:val="20"/>
          <w:szCs w:val="20"/>
        </w:rPr>
        <w:t xml:space="preserve">SP ZOZ Szpital Powiatowy im. Edmunda Biernackiego w Opocznie </w:t>
        <w:br/>
        <w:t xml:space="preserve">ul. Partyzantów 30,  26-300 Opoczno  (sekretariat) </w:t>
        <w:br/>
      </w:r>
    </w:p>
    <w:p>
      <w:pPr>
        <w:pStyle w:val="Normal"/>
        <w:widowControl w:val="false"/>
        <w:numPr>
          <w:ilvl w:val="0"/>
          <w:numId w:val="0"/>
        </w:numPr>
        <w:tabs>
          <w:tab w:val="left" w:pos="13301" w:leader="none"/>
        </w:tabs>
        <w:spacing w:lineRule="exact" w:line="274" w:before="0" w:after="0"/>
        <w:jc w:val="center"/>
        <w:rPr>
          <w:rFonts w:ascii="Arial" w:hAnsi="Arial" w:cs="Times New Roman"/>
          <w:b/>
          <w:b/>
          <w:bCs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  <w:t>Ofertę należy przesłać drogą pocztową lub osobiście w sekretariacie Zamawiającego.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3301" w:leader="none"/>
        </w:tabs>
        <w:spacing w:lineRule="exact" w:line="274" w:before="0" w:after="0"/>
        <w:rPr>
          <w:rFonts w:ascii="Arial" w:hAnsi="Arial" w:cs="Times New Roman"/>
          <w:b/>
          <w:b/>
          <w:bCs/>
          <w:sz w:val="20"/>
          <w:szCs w:val="20"/>
        </w:rPr>
      </w:pPr>
      <w:r>
        <w:rPr>
          <w:rFonts w:cs="Times New Roman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13301" w:leader="none"/>
        </w:tabs>
        <w:spacing w:lineRule="exact" w:line="274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 xml:space="preserve">Ofertę należy sporządzić w formie pisemnej, w języku polskim. </w:t>
        <w:br/>
      </w:r>
      <w:r>
        <w:rPr>
          <w:rFonts w:cs="Times New Roman" w:ascii="Arial" w:hAnsi="Arial"/>
          <w:sz w:val="20"/>
          <w:szCs w:val="20"/>
          <w:u w:val="single"/>
        </w:rPr>
        <w:t>Koperta winna być zaadresowana do zamawiającego i oznaczona w sposób następujący: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13301" w:leader="none"/>
        </w:tabs>
        <w:suppressAutoHyphens w:val="true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A"/>
          <w:sz w:val="20"/>
          <w:szCs w:val="20"/>
          <w:lang w:val="pl-PL" w:eastAsia="zxx" w:bidi="zxx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A"/>
          <w:sz w:val="20"/>
          <w:szCs w:val="20"/>
          <w:lang w:val="pl-PL" w:eastAsia="zxx" w:bidi="zxx"/>
        </w:rPr>
      </w:r>
    </w:p>
    <w:p>
      <w:pPr>
        <w:pStyle w:val="Normal"/>
        <w:numPr>
          <w:ilvl w:val="0"/>
          <w:numId w:val="0"/>
        </w:numPr>
        <w:suppressAutoHyphens w:val="true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A"/>
          <w:sz w:val="20"/>
          <w:szCs w:val="20"/>
          <w:lang w:val="pl-PL" w:eastAsia="zxx" w:bidi="zxx"/>
        </w:rPr>
        <w:t>„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A"/>
          <w:sz w:val="20"/>
          <w:szCs w:val="20"/>
          <w:lang w:val="pl-PL" w:eastAsia="zxx" w:bidi="zxx"/>
        </w:rPr>
        <w:t>D</w:t>
      </w:r>
      <w:r>
        <w:rPr>
          <w:rFonts w:eastAsia="Times New Roman" w:cs="Arial" w:ascii="Arial" w:hAnsi="Arial"/>
          <w:b/>
          <w:bCs/>
          <w:i w:val="false"/>
          <w:iCs w:val="false"/>
          <w:color w:val="00000A"/>
          <w:sz w:val="20"/>
          <w:szCs w:val="20"/>
          <w:lang w:val="pl-PL" w:eastAsia="zxx" w:bidi="zxx"/>
        </w:rPr>
        <w:t xml:space="preserve">ostawa licencji i wdrożenie oprogramowania części administracyjnej </w:t>
        <w:br/>
        <w:t>wraz z migracją danych dla SP ZOZ Szpitala Powiatowego im. Edmunda Biernackiego w Opocznie.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</w:rPr>
        <w:t xml:space="preserve"> </w:t>
        <w:br/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0"/>
          <w:szCs w:val="20"/>
          <w:u w:val="single"/>
        </w:rPr>
        <w:t>Nie otwierać do dnia 15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pacing w:val="0"/>
          <w:sz w:val="20"/>
          <w:szCs w:val="20"/>
          <w:u w:val="single"/>
        </w:rPr>
        <w:t>.12.2016 godz. 12.10.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pacing w:val="0"/>
          <w:sz w:val="20"/>
          <w:szCs w:val="20"/>
        </w:rPr>
        <w:t>"</w:t>
      </w:r>
    </w:p>
    <w:p>
      <w:pPr>
        <w:pStyle w:val="Normal"/>
        <w:numPr>
          <w:ilvl w:val="0"/>
          <w:numId w:val="0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Oferta musi być podpisana przez osobę upoważnioną do reprezentowania wykonawcy albo przez osobę umocowaną przez wykonawcę na piśmie.</w:t>
      </w:r>
    </w:p>
    <w:p>
      <w:pPr>
        <w:pStyle w:val="Normal"/>
        <w:numPr>
          <w:ilvl w:val="0"/>
          <w:numId w:val="5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Cena oferty winna być podana w polskich złotych z obowiązujący systemem monetarnym zaokrąglona do 2 miejsc po przecinku. W cenie zawarte będą upusty oraz wszelkie koszty związane z realizacją przedmiotu zamówienia.</w:t>
      </w:r>
    </w:p>
    <w:p>
      <w:pPr>
        <w:pStyle w:val="Normal"/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BodyText2"/>
        <w:suppressAutoHyphens w:val="true"/>
        <w:rPr/>
      </w:pPr>
      <w:r>
        <w:rPr>
          <w:rFonts w:cs="Arial" w:ascii="Arial" w:hAnsi="Arial"/>
          <w:b/>
          <w:i/>
          <w:sz w:val="20"/>
          <w:lang w:val="pl-PL"/>
        </w:rPr>
        <w:t>4</w:t>
      </w:r>
      <w:r>
        <w:rPr>
          <w:rFonts w:cs="Arial" w:ascii="Arial" w:hAnsi="Arial"/>
          <w:b/>
          <w:i/>
          <w:sz w:val="20"/>
        </w:rPr>
        <w:t xml:space="preserve">. Dokumenty wymagane od wykonawców: 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  <w:lang w:eastAsia="ar-SA"/>
        </w:rPr>
      </w:pPr>
      <w:r>
        <w:rPr>
          <w:rFonts w:cs="Arial" w:ascii="Arial" w:hAnsi="Arial"/>
          <w:b w:val="false"/>
          <w:sz w:val="20"/>
          <w:lang w:eastAsia="ar-SA"/>
        </w:rPr>
        <w:t>Aktualny odpis z właściwego rejestru lub z CEIDG w formie wydruku ze strony internetowej.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  <w:lang w:eastAsia="ar-SA"/>
        </w:rPr>
      </w:pPr>
      <w:r>
        <w:rPr>
          <w:rFonts w:cs="Arial" w:ascii="Arial" w:hAnsi="Arial"/>
          <w:b w:val="false"/>
          <w:sz w:val="20"/>
          <w:lang w:eastAsia="ar-SA"/>
        </w:rPr>
        <w:t>Pełnomocnictwo do podpisania oferty – jeżeli dotyczy.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Formularz ofertowy - druk nr 1.</w:t>
      </w:r>
    </w:p>
    <w:p>
      <w:pPr>
        <w:pStyle w:val="Normal"/>
        <w:numPr>
          <w:ilvl w:val="0"/>
          <w:numId w:val="3"/>
        </w:numPr>
        <w:suppressAutoHyphens w:val="true"/>
        <w:jc w:val="both"/>
        <w:rPr>
          <w:rFonts w:ascii="Arial" w:hAnsi="Arial" w:cs="Arial"/>
          <w:b w:val="false"/>
          <w:b w:val="false"/>
          <w:sz w:val="20"/>
          <w:lang w:eastAsia="ar-SA"/>
        </w:rPr>
      </w:pPr>
      <w:r>
        <w:rPr>
          <w:rFonts w:cs="Arial" w:ascii="Arial" w:hAnsi="Arial"/>
          <w:b w:val="false"/>
          <w:sz w:val="20"/>
          <w:lang w:eastAsia="ar-SA"/>
        </w:rPr>
      </w:r>
    </w:p>
    <w:p>
      <w:pPr>
        <w:pStyle w:val="BodyText2"/>
        <w:suppressAutoHyphens w:val="true"/>
        <w:rPr/>
      </w:pPr>
      <w:r>
        <w:rPr>
          <w:rFonts w:cs="Arial" w:ascii="Arial" w:hAnsi="Arial"/>
          <w:b/>
          <w:i/>
          <w:sz w:val="20"/>
          <w:lang w:val="pl-PL"/>
        </w:rPr>
        <w:t>5</w:t>
      </w:r>
      <w:r>
        <w:rPr>
          <w:rFonts w:cs="Arial" w:ascii="Arial" w:hAnsi="Arial"/>
          <w:b/>
          <w:i/>
          <w:sz w:val="20"/>
        </w:rPr>
        <w:t>.  Kryterium oceny ofert</w:t>
      </w:r>
      <w:r>
        <w:rPr>
          <w:rFonts w:cs="Arial" w:ascii="Arial" w:hAnsi="Arial"/>
          <w:sz w:val="20"/>
        </w:rPr>
        <w:t xml:space="preserve"> - cena 100%.</w:t>
      </w:r>
    </w:p>
    <w:p>
      <w:pPr>
        <w:pStyle w:val="BodyText2"/>
        <w:suppressAutoHyphens w:val="true"/>
        <w:rPr>
          <w:rFonts w:ascii="Arial" w:hAnsi="Arial" w:cs="Arial"/>
          <w:sz w:val="20"/>
          <w:lang w:val="pl-PL"/>
        </w:rPr>
      </w:pPr>
      <w:r>
        <w:rPr>
          <w:rFonts w:cs="Arial" w:ascii="Arial" w:hAnsi="Arial"/>
          <w:sz w:val="20"/>
          <w:lang w:val="pl-PL"/>
        </w:rPr>
      </w:r>
    </w:p>
    <w:p>
      <w:pPr>
        <w:pStyle w:val="BodyText2"/>
        <w:suppressAutoHyphens w:val="true"/>
        <w:rPr/>
      </w:pPr>
      <w:r>
        <w:rPr>
          <w:rFonts w:cs="Arial" w:ascii="Arial" w:hAnsi="Arial"/>
          <w:b/>
          <w:i/>
          <w:sz w:val="20"/>
          <w:lang w:val="pl-PL"/>
        </w:rPr>
        <w:t>6</w:t>
      </w:r>
      <w:r>
        <w:rPr>
          <w:rFonts w:cs="Arial" w:ascii="Arial" w:hAnsi="Arial"/>
          <w:b/>
          <w:i/>
          <w:sz w:val="20"/>
        </w:rPr>
        <w:t xml:space="preserve">. Tryb udzielania wyjaśnień </w:t>
      </w:r>
    </w:p>
    <w:p>
      <w:pPr>
        <w:pStyle w:val="BodyText2"/>
        <w:numPr>
          <w:ilvl w:val="0"/>
          <w:numId w:val="4"/>
        </w:numPr>
        <w:suppressAutoHyphens w:val="tru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Wykonawca może zwracać się do Zamawiającego o wyjaśnienie dotyczące wszelkich wątpliwości związanych ze sposobem przygotowania i złożenia oferty kierując swoje zapytanie na piśmie.</w:t>
      </w:r>
    </w:p>
    <w:p>
      <w:pPr>
        <w:pStyle w:val="BodyText2"/>
        <w:numPr>
          <w:ilvl w:val="0"/>
          <w:numId w:val="4"/>
        </w:numPr>
        <w:suppressAutoHyphens w:val="true"/>
        <w:jc w:val="left"/>
        <w:rPr/>
      </w:pPr>
      <w:r>
        <w:rPr>
          <w:rFonts w:cs="Arial" w:ascii="Arial" w:hAnsi="Arial"/>
          <w:sz w:val="20"/>
        </w:rPr>
        <w:t xml:space="preserve">Telefon i osoba do kontaktu: </w:t>
        <w:br/>
      </w:r>
      <w:r>
        <w:rPr>
          <w:rFonts w:cs="Arial" w:ascii="Arial" w:hAnsi="Arial"/>
          <w:sz w:val="20"/>
          <w:lang w:val="pl-PL"/>
        </w:rPr>
        <w:t>Emil Chorąż</w:t>
      </w:r>
      <w:r>
        <w:rPr>
          <w:rFonts w:cs="Arial" w:ascii="Arial" w:hAnsi="Arial"/>
          <w:sz w:val="20"/>
          <w:lang w:val="pl-PL"/>
        </w:rPr>
        <w:t>e</w:t>
      </w:r>
      <w:r>
        <w:rPr>
          <w:rFonts w:cs="Arial" w:ascii="Arial" w:hAnsi="Arial"/>
          <w:sz w:val="20"/>
          <w:lang w:val="pl-PL"/>
        </w:rPr>
        <w:t>wski  504 224 851</w:t>
        <w:br/>
      </w:r>
      <w:r>
        <w:rPr>
          <w:rFonts w:cs="Arial" w:ascii="Arial" w:hAnsi="Arial"/>
          <w:sz w:val="20"/>
          <w:lang w:val="pl-PL"/>
        </w:rPr>
        <w:t>Joanna Gumkowska 44 754 48 60</w:t>
      </w:r>
      <w:r>
        <w:rPr>
          <w:rFonts w:cs="Arial" w:ascii="Arial" w:hAnsi="Arial"/>
          <w:sz w:val="20"/>
          <w:lang w:val="pl-PL"/>
        </w:rPr>
        <w:br/>
      </w:r>
    </w:p>
    <w:p>
      <w:pPr>
        <w:pStyle w:val="BodyText2"/>
        <w:suppressAutoHyphens w:val="true"/>
        <w:rPr/>
      </w:pPr>
      <w:r>
        <w:rPr>
          <w:rFonts w:cs="Arial" w:ascii="Arial" w:hAnsi="Arial"/>
          <w:b/>
          <w:sz w:val="20"/>
          <w:lang w:val="pl-PL"/>
        </w:rPr>
        <w:t>7</w:t>
      </w:r>
      <w:r>
        <w:rPr>
          <w:rFonts w:cs="Arial" w:ascii="Arial" w:hAnsi="Arial"/>
          <w:b/>
          <w:sz w:val="20"/>
        </w:rPr>
        <w:t>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 xml:space="preserve">Termin związania ofertą </w:t>
      </w:r>
      <w:r>
        <w:rPr>
          <w:rFonts w:cs="Arial" w:ascii="Arial" w:hAnsi="Arial"/>
          <w:sz w:val="20"/>
        </w:rPr>
        <w:t>- 30 dni. Bieg terminu rozpoczyna się wraz z upływem terminu składania  ofert.</w:t>
      </w:r>
    </w:p>
    <w:p>
      <w:pPr>
        <w:pStyle w:val="BodyText2"/>
        <w:suppressAutoHyphens w:val="true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rPr/>
      </w:pPr>
      <w:r>
        <w:rPr>
          <w:rFonts w:cs="Arial" w:ascii="Arial" w:hAnsi="Arial"/>
          <w:b/>
          <w:sz w:val="20"/>
          <w:lang w:val="pl-PL"/>
        </w:rPr>
        <w:t>8</w:t>
      </w:r>
      <w:r>
        <w:rPr>
          <w:rFonts w:cs="Arial" w:ascii="Arial" w:hAnsi="Arial"/>
          <w:b/>
          <w:sz w:val="20"/>
        </w:rPr>
        <w:t>.</w:t>
      </w:r>
      <w:r>
        <w:rPr>
          <w:rFonts w:cs="Arial" w:ascii="Arial" w:hAnsi="Arial"/>
          <w:b/>
          <w:i/>
          <w:sz w:val="20"/>
        </w:rPr>
        <w:t xml:space="preserve"> Warunki i ustalenia, które będą  wprowadzone  do umowy</w:t>
      </w:r>
      <w:r>
        <w:rPr>
          <w:rFonts w:cs="Arial" w:ascii="Arial" w:hAnsi="Arial"/>
          <w:sz w:val="20"/>
        </w:rPr>
        <w:t xml:space="preserve"> - zgodnie z projektem umowy – druk nr 2.</w:t>
      </w:r>
    </w:p>
    <w:p>
      <w:pPr>
        <w:pStyle w:val="BodyText2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ind w:left="284" w:right="0" w:hanging="284"/>
        <w:jc w:val="both"/>
        <w:rPr/>
      </w:pPr>
      <w:r>
        <w:rPr>
          <w:rFonts w:cs="Arial" w:ascii="Arial" w:hAnsi="Arial"/>
          <w:sz w:val="20"/>
          <w:lang w:val="pl-PL"/>
        </w:rPr>
        <w:t>9</w:t>
      </w:r>
      <w:r>
        <w:rPr>
          <w:rFonts w:cs="Arial" w:ascii="Arial" w:hAnsi="Arial"/>
          <w:sz w:val="20"/>
        </w:rPr>
        <w:t>. Po wyborze najkorzystniejszej oferty Zamawiający wyśle do wybranego wykonawcy umowę do podpisania i zwrotu jednego egzemplarza.</w:t>
      </w:r>
    </w:p>
    <w:p>
      <w:pPr>
        <w:pStyle w:val="BodyText2"/>
        <w:ind w:left="284" w:right="0" w:hanging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BodyText2"/>
        <w:ind w:left="284" w:right="0" w:hanging="284"/>
        <w:jc w:val="both"/>
        <w:rPr/>
      </w:pPr>
      <w:r>
        <w:rPr>
          <w:rFonts w:cs="Arial" w:ascii="Arial" w:hAnsi="Arial"/>
          <w:sz w:val="20"/>
          <w:lang w:val="pl-PL"/>
        </w:rPr>
        <w:t>10</w:t>
      </w:r>
      <w:r>
        <w:rPr>
          <w:rFonts w:cs="Arial" w:ascii="Arial" w:hAnsi="Arial"/>
          <w:sz w:val="20"/>
        </w:rPr>
        <w:t>. Zamawiający zastrzega sobie prawo unieważnienia postępowania na każdym etapie przed podpisaniem umowy bez podawania przyczyn.</w:t>
      </w:r>
    </w:p>
    <w:p>
      <w:pPr>
        <w:pStyle w:val="Tytu"/>
        <w:ind w:left="4248" w:right="0" w:hanging="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         </w:t>
      </w:r>
    </w:p>
    <w:p>
      <w:pPr>
        <w:pStyle w:val="Tytu"/>
        <w:ind w:left="4248" w:right="0" w:hanging="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Tytu"/>
        <w:ind w:left="4248" w:right="0" w:hanging="0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 xml:space="preserve"> ……………………</w:t>
      </w:r>
      <w:r>
        <w:rPr>
          <w:rFonts w:cs="Arial" w:ascii="Arial" w:hAnsi="Arial"/>
          <w:b w:val="false"/>
          <w:sz w:val="20"/>
        </w:rPr>
        <w:t>..</w:t>
      </w:r>
    </w:p>
    <w:p>
      <w:pPr>
        <w:pStyle w:val="Normal"/>
        <w:tabs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Załączniki: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426" w:leader="none"/>
        </w:tabs>
        <w:ind w:left="720" w:right="0" w:hanging="0"/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Formularz ofertowo-cenowy (druk nr 1)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426" w:leader="none"/>
        </w:tabs>
        <w:ind w:left="720" w:right="0" w:hanging="0"/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Projekt umowy (druk nr 2)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426" w:leader="none"/>
        </w:tabs>
        <w:ind w:left="720" w:right="0" w:hanging="0"/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Wymagania funkcjonalne licencji (druk nr 3)</w:t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Druk nr 1</w:t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  <w:t>Formularz ofertowo-cenowy</w:t>
      </w:r>
    </w:p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tbl>
      <w:tblPr>
        <w:tblW w:w="1062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92" w:type="dxa"/>
          <w:bottom w:w="0" w:type="dxa"/>
          <w:right w:w="108" w:type="dxa"/>
        </w:tblCellMar>
      </w:tblPr>
      <w:tblGrid>
        <w:gridCol w:w="713"/>
        <w:gridCol w:w="2397"/>
        <w:gridCol w:w="3830"/>
        <w:gridCol w:w="709"/>
        <w:gridCol w:w="1413"/>
        <w:gridCol w:w="1559"/>
      </w:tblGrid>
      <w:tr>
        <w:trPr>
          <w:trHeight w:val="520" w:hRule="atLeast"/>
          <w:cantSplit w:val="true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714" w:right="0" w:hanging="357"/>
              <w:contextualSpacing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L. p.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Moduł / Obszar</w:t>
            </w:r>
          </w:p>
        </w:tc>
        <w:tc>
          <w:tcPr>
            <w:tcW w:w="3830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Zakres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Ilość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2" w:space="0" w:color="00000A"/>
              <w:bottom w:val="single" w:sz="4" w:space="0" w:color="00000A"/>
              <w:right w:val="single" w:sz="2" w:space="0" w:color="00000A"/>
              <w:insideH w:val="single" w:sz="4" w:space="0" w:color="00000A"/>
              <w:insideV w:val="single" w:sz="2" w:space="0" w:color="00000A"/>
            </w:tcBorders>
            <w:shd w:fill="F2F2F2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2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2F2F2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b w:val="false"/>
                <w:b w:val="false"/>
                <w:sz w:val="18"/>
                <w:szCs w:val="18"/>
              </w:rPr>
            </w:pPr>
            <w:r>
              <w:rPr>
                <w:rFonts w:ascii="Calibri" w:hAnsi="Calibri"/>
                <w:b w:val="false"/>
                <w:sz w:val="18"/>
                <w:szCs w:val="18"/>
              </w:rPr>
              <w:t>Wartość brutto</w:t>
            </w:r>
          </w:p>
        </w:tc>
      </w:tr>
      <w:tr>
        <w:trPr>
          <w:trHeight w:val="267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Finanse-Księgowość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Koszty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Rejestr Sprzedaży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Kasa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Środki Trwałe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Wyposażenie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Gospodarka Materiałowa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319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 xml:space="preserve">        </w:t>
            </w:r>
            <w:r>
              <w:rPr>
                <w:rFonts w:cs="Arial" w:ascii="Calibri" w:hAnsi="Calibri"/>
                <w:sz w:val="18"/>
                <w:szCs w:val="18"/>
              </w:rPr>
              <w:t>Kadry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94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Płace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Nadzór Autorski / Licencja nieograniczona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Finanse-Księgowość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Rejestr Sprzedaży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Kasa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Środki Trwałe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Wyposażenie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Gospodarka Materiałowa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Kadry Płace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Instalacja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Rejestr Sprzedaży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Kasa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Gospodarka Materiałowa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konfiguracja, szkolenie, uruchomienie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Finanse-Księgowość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konfiguracja, szkolenie, uruchomienie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Środki Trwałe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Wyposażenie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Kadry Płace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konfiguracja, szkolenie, uruchomienie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Finanse-Księgowość</w:t>
            </w:r>
          </w:p>
          <w:p>
            <w:pPr>
              <w:pStyle w:val="Normal"/>
              <w:spacing w:lineRule="auto" w:line="240" w:before="0" w:after="0"/>
              <w:ind w:left="308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Gospodarka Materiałowa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Migracja danych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6" w:space="0" w:color="00000A"/>
              <w:insideH w:val="single" w:sz="2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713" w:type="dxa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2F2F2" w:val="clear"/>
            <w:tcMar>
              <w:left w:w="92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true"/>
              <w:spacing w:lineRule="auto" w:line="240" w:before="0" w:after="0"/>
              <w:ind w:left="720" w:right="0" w:hanging="357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9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  <w:right w:val="single" w:sz="2" w:space="0" w:color="00000A"/>
              <w:insideH w:val="single" w:sz="6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Moduły: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Środki Trwałe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Kadry Płace</w:t>
            </w:r>
          </w:p>
        </w:tc>
        <w:tc>
          <w:tcPr>
            <w:tcW w:w="3830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  <w:right w:val="single" w:sz="2" w:space="0" w:color="00000A"/>
              <w:insideH w:val="single" w:sz="6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Migracja danych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  <w:right w:val="single" w:sz="2" w:space="0" w:color="00000A"/>
              <w:insideH w:val="single" w:sz="6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  <w:right w:val="single" w:sz="2" w:space="0" w:color="00000A"/>
              <w:insideH w:val="single" w:sz="6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4" w:right="0" w:hanging="35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0" w:leader="none"/>
          <w:tab w:val="left" w:pos="426" w:leader="none"/>
        </w:tabs>
        <w:rPr>
          <w:rFonts w:ascii="Arial" w:hAnsi="Arial" w:cs="Arial"/>
          <w:b w:val="false"/>
          <w:b w:val="false"/>
          <w:color w:val="000000"/>
          <w:sz w:val="20"/>
        </w:rPr>
      </w:pPr>
      <w:r>
        <w:rPr>
          <w:rFonts w:cs="Arial" w:ascii="Arial" w:hAnsi="Arial"/>
          <w:b w:val="false"/>
          <w:color w:val="000000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0" w:right="0" w:firstLine="708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Łączna cena za przedmiot zamówienia:</w:t>
      </w:r>
    </w:p>
    <w:p>
      <w:pPr>
        <w:pStyle w:val="Normal"/>
        <w:ind w:left="0" w:right="0" w:firstLine="708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Netto:……………………………………………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Słownie:………………………………………..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Vat (…%):……………….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Brutto:……………………………………………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Słownie:…………………………………………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</w:r>
      <w:r>
        <w:br w:type="page"/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Druk 3</w:t>
      </w:r>
    </w:p>
    <w:p>
      <w:pPr>
        <w:pStyle w:val="Normal"/>
        <w:spacing w:lineRule="auto" w:line="480"/>
        <w:ind w:left="0" w:right="0" w:firstLine="708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Wymagania funkcjonalne licencji</w:t>
      </w:r>
    </w:p>
    <w:tbl>
      <w:tblPr>
        <w:tblW w:w="9923" w:type="dxa"/>
        <w:jc w:val="left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718"/>
        <w:gridCol w:w="8204"/>
      </w:tblGrid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i/>
                <w:iCs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i/>
                <w:iCs/>
                <w:color w:val="000000"/>
                <w:sz w:val="22"/>
                <w:szCs w:val="22"/>
              </w:rPr>
              <w:t>Wymaganie</w:t>
            </w:r>
          </w:p>
        </w:tc>
      </w:tr>
      <w:tr>
        <w:trPr>
          <w:trHeight w:val="73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Oferowane oprogramowanie jest zgodne z aktualnymi aktami prawnymi regulującymi organizację i działalność sektora usług medycznych i opieki zdro</w:t>
              <w:softHyphen/>
              <w:t>wotnej w kraju. w tym:</w:t>
            </w:r>
          </w:p>
        </w:tc>
      </w:tr>
      <w:tr>
        <w:trPr>
          <w:trHeight w:val="84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29 września 1994 r. o rachunkowości (Dz.U. 1994 nr 121 poz. 591) z późniejszymi zmianami (w szczególności nowelizacją obowiązującą od 1 stycznia 2002 r.)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11.03.2004 o podatku od towarów i usług z późniejszymi zmianami</w:t>
            </w:r>
          </w:p>
        </w:tc>
      </w:tr>
      <w:tr>
        <w:trPr>
          <w:trHeight w:val="663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Rozporządzenie Ministra Zdrowia i Opieki Społecznej z dnia 22 grudnia 1998 r. w sprawie szczególnych zasad rachunku kosztów w publicznych zakładach opieki zdrowotnej (Dz.U. 1998 nr 164 poz. 1194)</w:t>
            </w:r>
          </w:p>
        </w:tc>
      </w:tr>
      <w:tr>
        <w:trPr>
          <w:trHeight w:val="94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Rozporządzenie Ministra Spraw Wewnętrznych i Administracji z dnia 29 kwietnia 2004 w sprawie dokumentacji przetwarzania danych osobowych oraz warunków technicznych i organizacyjnych, jakim powinny odpowiadać urządzenia i systemy informatyczne służące do przetwarzania danych osobowych (Dz.U. z 2004 nr 100, poz.1024)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26 czerwca 1974 r. Kodeks pracy (Dz.U. 1998 nr 21 poz. 94) z późniejszymi zmianami</w:t>
            </w:r>
          </w:p>
        </w:tc>
      </w:tr>
      <w:tr>
        <w:trPr>
          <w:trHeight w:val="73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26 lipca 1991 r. o podatku dochodowym od osób fizycznych (Dz.U. 1991 nr 80 poz. 350) z późniejszymi zmianami</w:t>
            </w:r>
          </w:p>
        </w:tc>
      </w:tr>
      <w:tr>
        <w:trPr>
          <w:trHeight w:val="73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23 stycznia 2003 r. o powszechnym ubezpieczeniu w Narodowym Funduszu Zdrowia (Dz.U. 2003 nr 45 poz. 391) z późniejszymi zmianami</w:t>
            </w:r>
          </w:p>
        </w:tc>
      </w:tr>
      <w:tr>
        <w:trPr>
          <w:trHeight w:val="97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25 czerwca 1999 r. o świadczeniach pieniężnych z ubezpieczenia społecznego w razie choroby i macierzyństwa (Dz.U. 1999 nr 60 poz. 636) z późniejszymi zmianami</w:t>
            </w:r>
          </w:p>
        </w:tc>
      </w:tr>
      <w:tr>
        <w:trPr>
          <w:trHeight w:val="73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13 października 1998 r. o systemie ubezpieczeń społecznych (Dz.U. 1998 nr 137 poz. 887) z późniejszymi zmianami</w:t>
            </w:r>
          </w:p>
        </w:tc>
      </w:tr>
      <w:tr>
        <w:trPr>
          <w:trHeight w:val="73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Ustawa z dnia 17 lutego 2005 o informatyzacji działalności podmiotów realizujących zadania publiczne (Dz.U z 2005 nr 64) z późniejszymi zmianami</w:t>
            </w:r>
          </w:p>
        </w:tc>
      </w:tr>
      <w:tr>
        <w:trPr>
          <w:trHeight w:val="73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Rozporządzenie Rady Ministrów z dnia 11 października 2005 w sprawie minimalnych wymagań dla systemów teleinformatycznych (Dz.U. 2005 Nr 212, poz. 1766).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musi spełniać wymogi wynikające z ustawy „o Ochronie Danych Osobowych” z 29 czerwca 1997 roku oraz z Rozporządzenia MSWiA z 29 kwietnia 2004 roku, w szczególności system musi przechowywać informacje 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dacie wprowadzenia danych osobowych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identyfikator użytkownika wprowadzającego dane osobowe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źródło danych (o ile dane nie pochodzą od osoby, której te dane dotyczą)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informacje o odbiorcach danych którym dane osobowe zostały udostępnione,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dacie i zakresie tego udostępnienia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data modyfikacji danych osobowych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Akty prawne i normy</w:t>
            </w:r>
          </w:p>
        </w:tc>
        <w:tc>
          <w:tcPr>
            <w:tcW w:w="820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identyfikator operatora modyfikującego dane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System ma interfejs graficzny dla wszystkich modułów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pracuje w środowisku graficznym MS Windows na stanowiskach użytkowników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(preferowane środowisko MS Windows XP/Vista)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Wszystkie moduły systemu działają w oparciu o jeden motor bazy danych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Wszystkie moduły/ systemy pochodzą od jednego producenta</w:t>
            </w:r>
          </w:p>
        </w:tc>
      </w:tr>
      <w:tr>
        <w:trPr>
          <w:trHeight w:val="826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System komunikuje się z użytkownikiem w języku polskim. Jest wyposażony w system podpowiedzi (help). W przypadku oprogramowania narzędziowego i administracyjnego serwera bazy danych - częściowa komunikacja w języku angielskim </w:t>
            </w:r>
          </w:p>
        </w:tc>
      </w:tr>
      <w:tr>
        <w:trPr>
          <w:trHeight w:val="97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 funkcjach związanych z wprowadzaniem danych system udostępnia podpowiedzi, automatyczne wypełnianie pól, słowniki grup da</w:t>
              <w:softHyphen/>
              <w:t>nych (katalogi leków, procedur medycznych, danych osobowych, teryto</w:t>
              <w:softHyphen/>
              <w:t>rialnych).</w:t>
            </w:r>
          </w:p>
        </w:tc>
      </w:tr>
      <w:tr>
        <w:trPr>
          <w:trHeight w:val="115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zapewnia odporność struktur danych (baz danych) na uszkodzenia oraz pozwala na szybkie odtworzenie ich zawartości i właściwego stanu, jak również posiada łatwość wykonania ich kopii bie</w:t>
              <w:softHyphen/>
              <w:t>żących oraz łatwość odtwarzania z kopii. System jest wyposażony w zabezpieczenia przed nie</w:t>
              <w:softHyphen/>
              <w:t>autoryzowanym dostępem. Zabezpieczenia funkcjonują na poziomie klienta (aplikacja) i serwera (serwer baz danych).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System jest wykonany w technologii klient-serwer, dane są przechowywane w modelu relacyjnym baz danych z wykorzystaniem aktywnego serwera baz danych. 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musi być wyposażony w zabezpieczenia przed nieautoryzowanym dostępem. Zabezpieczenia muszą funkcjonować na poziomie klienta (aplikacja) i serwera (serwer baz danych),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musi posiadać mechanizmy umożliwiające zapis i przeglądanie danych o logowaniu użytkowników do systemu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musi umożliwiać podgląd aktualnie zalogowanych do systemu użytkowników.</w:t>
            </w:r>
          </w:p>
        </w:tc>
      </w:tr>
      <w:tr>
        <w:trPr>
          <w:trHeight w:val="912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musi tworzyć i utrzymywać log systemu, rejestrujący wszystkich użytkowników systemu i wykonane przez nich najważniejsze czynności z możliwością analizy historii zmienianych wartości danych.</w:t>
            </w:r>
          </w:p>
        </w:tc>
      </w:tr>
      <w:tr>
        <w:trPr>
          <w:trHeight w:val="111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Administrator musi posiadać możliwość z poziomu aplikacji z modułu administratora nadawania danemu użytkownikowi unikalnego loginu oraz hasła. Administrator musi posiadać możliwość ustawienia parametrów hasła: długość, czas żywotności, czas przed wygaśnięciem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Administrator musi posiadać z poziomu aplikacji możliwość wylogowania wszystkich użytkowników aplikacji oraz zablokowania im dostępu do niej przez określony czas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 przypadku przechowywania haseł w bazie danych, hasła muszą być zapamiętane w postaci niejawnej (zaszyfrowanej).</w:t>
            </w:r>
          </w:p>
        </w:tc>
      </w:tr>
      <w:tr>
        <w:trPr>
          <w:trHeight w:val="1408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Dane powinny być chronione przed niepowołanym dostępem przy pomocy mechanizmu uprawnień użytkowników. Każdy użytkownik systemu powinien mieć odrębny login i hasło. Jakakolwiek funkcjonalność systemu (niezależnie od ilości modułów) będzie dostępna dla użytkownika dopiero po jego zalogowaniu. Systemu uprawnień powinien być tak skonstruowany, aby można było użytkownikowi nadać uprawnienia z dokładnością do rodzaju wykonywanej operacji tj. osobne uprawnienie na odczyt danych i osobne na wprowadzanie/modyfikację danych. System uprawnień powinien umożliwiać definiowanie grup uprawnień, które to mogłyby być przydzielane poszczególnym użytkownikom. 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Równolegle musi istnieć możliwość nadawania użytkownikowi pojedynczych uprawnień z listy dostępnych. System musi umożliwiać definiowanie grup użytkowników i przydzielanie użytkowników do tych grup.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System umożliwia administratorowi z poziomu aplikacji definiowanie i zmianę praw dostępu dla poszczególnych użytkowników i grup użytkowników z dokładnością do poszczególnych modułów oraz funkcji systemu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Jednokrotne logowanie do systemu umożliwiające dostęp do wszystkich modułów, do których użytkownik posiada uprawnienia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uruchomienia kolejnej aplikacji bez konieczności wylosowywania się z dotychczas używanej aplikacji i ponownego logowania.</w:t>
            </w:r>
          </w:p>
        </w:tc>
      </w:tr>
      <w:tr>
        <w:trPr>
          <w:trHeight w:val="12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Definiowanie pulpitu użytkownika umożliwiającego uruchomienie wszystkich modułów, aplikacji czy funkcjonalności Systemu, do jakich posiada uprawnienia, również aplikacji nie będących przedmiotem zamówienia np. aplikacje biurowe.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820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Dostęp do pulpitu użytkownika powinien być zabezpieczony hasłem. 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księgi głównej (konta syntetyczne), ksiąg pomocniczych (konta analityczne) i ewidencji pozabilansowej (konta pozabilansowe):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sposobu budowy kodów kont analitycznych (budowy segmentów kont) dla poszczególnych kont syntetycznych,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liczby i długości segmentów kont analitycznych,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ręcznego okodowania segmentów kont analitycznych,</w:t>
            </w:r>
          </w:p>
        </w:tc>
      </w:tr>
      <w:tr>
        <w:trPr>
          <w:trHeight w:val="1326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automatycznego okodowania segmentów kont analitycznych na podstawie zdefiniowanego przez użytkownika zestawu grup analitycznych: katalogu kontrahentów, katalogu pracowników, katalogu ośrodków powstawania kosztów, katalogu źródeł finansowania działalności (typów płatników), stawek VAT, grup analitycznych do dowolnego wykorzystania (dostępnych jest 5 takich grup)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bieżąca informacja o obrotach i stanie konta, z możliwością uwzględnienia obrotów nie zaksięgowanych,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automatyczne przenoszenie i aktualizacja bilansu otwarcia kont księgi głównej nowego roku obrotowego na podstawie bilansu zamknięcia poprzedniego roku,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definiowania grup kont dla potrzeb sprawozdawczości,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planów kont, grup kont Księgi głównej dla celów budżetowania,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miesięczne prowadzenie dziennika obrotów z możliwością prowadzenia dzienników cząstkowych (rejestrów dokumentów):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dokumentów z ręcznym określeniem sposobu dekretacji,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dokumentów z automatycznym określeniem sposobu dekretacji, poprzez zdefiniowane przez użytkownika schematy księgowania dokumentów dla określonych kategorii operacji gospodarczych,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kontrola kompletności wprowadzonych dokumentów zgodnie z zasadą podwójnego zapisu,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mechanizmy ułatwiające wprowadzanie dokumentów: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tworzenie pozycji dokumentu na podstawie pozycji wcześniej wprowadzonej,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tworzenie dekretów na podstawie zaewidencjonowanych rozrachunków (rozliczenie rozrachunków),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automatyczne przeksięgowanie obrotów wybranych kont, 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automatyczne rozksięgowanie kosztów na konta ośrodków powstawania kosztów zgodnie z określonym kluczem rozdziału,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automatyczne przeksięgowanie kosztów z kont układu kalkulacyjnego na konta sprzedaży zgodnie ze zdefiniowanym sposobem rozdziału kosztów,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wspomaganie tworzenia dokumentów związanych z międzyokresowymi rozliczeniami kosztów.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wykorzystania dodatkowych słowników nie stanowiących analityki kont przy dekretacji dokumentów (np. do ewidencji kosztów wg samochodów służbowych, urządzeń medycznych),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księgowanie dokumentów wprowadzonych (zadekretowanych).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uproszonej obsługi kasowej: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wyodrębnienie dziennika cząstkowego do prowadzenia obsługi kasowej,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operacji kasowych (dekretacja operacji kasowych),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raportu kasowego.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stanie rozrachunków z kontrahentami i ich obsługa: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mechanizm transakcji (szczegółowej identyfikacji rozrachunków z kontrahentem),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identyfikacyjnych kontrahentów (kartoteka kontrahentów),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syntetycznej informacji o stanie transakcji z kontrahentem (kartoteka kontrahenta), 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analitycznej informacji o stanie transakcji z kontrahentem (zapisy szczegółowe kartoteki kontrahenta) 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przeglądu stanu i historii poszczególnych transakcji z kontrahentem,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wydruku dokumentu potwierdzenia sald dla kontrahenta,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naliczenia odsetek i wydruku dokumentu noty odsetkowej dla wybranych należności od kontrahenta (w szczególności wszystkich),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automatycznego generowania dokumentu naliczenia odsetek,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wydruku dokumentu wezwania do zapłaty,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rejestracji cesji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przeksięgowania wierzytelności z kontrahenta na kontrahenta,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zmiany terminu płatności transakcji.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stanie rozrachunków z pracownikami i ich obsługa: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mechanizm szczegółowej identyfikacji rozrachunków z pracownikami,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identyfikacyjnych pracowników (kartoteka pracowników),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syntetycznej informacji o stanie rozrachunków z pracownikiem (kartoteka pracownika),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analitycznej informacji o stanie rozrachunków z pracownikiem (zapisy szczegółowe kartoteki pracownika),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przeglądu stanu i historii poszczególnych rozrachunków z pracownikiem,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naliczenia odsetek i wydruku noty odsetkowej,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zmiany terminu płatności rozrachunku.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informacji kosztowych dla potrzeb rachunku kosztów w układzie rodzajowym i kalkulacyjnym: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schemacie organizacyjnym zakładu – ośrodkach powstawania kosztów (katalog Ośrodków Powstawania Kosztów),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ewidencji kosztów na kontach księgi głównej i ksiąg pomocniczych w układzie rodzajowym,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ewidencji kosztów na kontach księgi głównej i ksiąg pomocniczych w układzie kalkulacyjnym,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uszczegółowienia ewidencji kosztów bez konieczności rozbudowy planu kont (prowadzenie kartotek kosztów szczegółowych dla kont układu kalkulacyjnego),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bieżącej i okresowej informacji o poziomie kosztów poszczególnych OPK (kartoteka OPK),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bieżącej i okresowej informacji o poziomie kosztów dowolnej grupy ośrodków powstawania kosztów (możliwość tworzenia grup OPK).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emisja zestawień i sprawozdań określonych w ustawie o rachunkowości oraz zestawień i sprawozdań dla potrzeb Zamawiającego: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dziennika obrotów lub dzienników cząstkowych,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księgi głównej (zestawienie stanu kont),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zestawienia obrotów i sald księgi głównej,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zestawienia obrotów i sald ksiąg pomocniczych,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wydruku sprawozdań rocznych: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bilansu,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sprawozdania z przepływu środków pieniężnych,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rachunku zysków i strat (metodą kalkulacyjną i porównawczą),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zestawienie zmian w kapitale (funduszu) własnym,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tworzenia z poziomu aplikacji FK pism według szablonów zdefiniowanych w MS Office lub Open Office bazujących na informacjach zawartych w księdze głównej oraz rozrachunkach kontrahenta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tworzenie bieżących i okresowych zestawień definiowanych dla potrzeb użytkownika z możliwością zapisu w formacie .xls i .csv.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rejestrów i deklaracji VAT: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dzienników cząstkowych (rejestrów dokumentów) dla dokumentów VAT zakupu i sprzedaży,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sposobu dekretacji dla poszczególnych stawek VAT w rejestrze VAT,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definicja pól deklaracji VAT (dla zakupu i sprzedaży),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dekretacja zakupów i sprzedaży VAT z określeniem pól deklaracji VAT dla poszczególnych zapisów, z możliwością określenia miesiąca rozliczenia VAT,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procentowej struktury sprzedaży VAT pozwalającej na wyznaczenie wysokości VAT z zakupów z podziałem na VAT do odliczenia i nie podlegający odliczeniu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rejestru zakupów VAT,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rejestru sprzedaży VAT,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danych do deklaracji (zestawienia) VAT dla sprzedaży,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danych do deklaracji (zestawienia) VAT dla zakupów.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bankowa: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emisji (wydruku) przelewów w formie papierowej: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wyboru przed wydrukiem konta bankowego zleceniodawcy (możliwość obsługi wielu kont Zamawiającego,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wydruku przelewów zbiorczych dla kontrahenta/pracownika.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emisji (eksportu) przelewów w formie elektronicznej poprzez system bankowości elektronicznej: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elastycznego definiowania elektronicznego formatu przelewu,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określenia formatu przelewu dla kont użytkownika,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wyboru przed eksportem konta bankowego zleceniodawcy (możliwość obsługi wielu kont zakładu).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ręcznego wprowadzania dokumentów wyciągów bankowych do dziennika FK,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importu wyciągów bankowych w formie elektronicznej poprzez system bankowości elektronicznej,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ręcznego lub automatycznego (poprzez import wyciągów w formie elektronicznej) potwierdzania przelewów,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tworzenia zestawień wykonanych przelewów dla kontrahentów i pracowników.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integracja z innymi modułami systemu, realizującymi funkcjonalność następujących zakresów (na poziomie dekretów do księgi głównej):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fakturowanie,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kasy gotówkowej,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magazynu materiałów,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magazynu leków.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środków trwałych,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wynagrodzeń.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zapewnienie komunikacji w zakresie JPK, w szczególności: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przygotowanie i wysłanie komunikatu JPK_KR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przygotowanie i wysłanie komunikatu JPK_WB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przygotowanie i wysłanie komunikatu JPK_VAT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Finanse-księgowość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odbiór potwierdzenia odbioru (UPO)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określanie struktury ośrodków powstawania kosztów (OPK) i prowadzenie cenników wewnętrznych świadczeń: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struktury ośrodków powstawania kosztów w przekroju rodzajów działalności,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zdefiniowania katalogu wykonywanych świadczeń i integracja z aplikacjami medycznymi w zakresie ewidencji wykonania: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 podstawie klasyfikacji procedur medycznych ICD-9,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 podstawie klasyfikacji badań laboratoryjnych,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innych zdefiniowanych przez użytkownika klasyfikacji.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przypisania do ośrodka listy wykonywanych świadczeń,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wprowadzenia cen wewnętrznych do rozliczeń wzajemnych pomiędzy jednostkami organizacyjnymi udzielającymi świadczeń,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wycena rzeczywistych kosztów świadczeń: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bieżącej i okresowej informacji o poziomie kosztów bezpośrednich poszczególnych OPK na podstawie zapisów księgowych realizowanych przez Finanse – Księgowość,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bieżącej i okresowej informacji o poziomie kosztów dowolnej grupy ośrodków powstawania kosztów (możliwość tworzenia grupy OPK), na podstawie zapisów księgowych,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rozliczenia kosztów działalności pomocniczej, zleceń wewnętrznych i zarządu poprzez 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OPK biorących udział w rozdziale kosztów poprzez określenie statusów ośrodków w danych identyfikacyjnych OPK,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rodzajów kluczy rozdziału kosztów dla OPK,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automatyczne pobieranie wartości kluczy z miesięcy poprzednich lub z aktualnych zapisów księgowych realizowanych przez Finanse – Księgowość (np. koszty leków, koszty osobowe),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ręczną modyfikację wartości kluczy (w tym wielkości wykonanych zadań),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określenie planu rozdziału dla każdego ośrodka (określenie ośrodków, na które będą rozliczone koszty ośrodka).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podawania informacji o wykonaniu świadczeń przez ośrodki realizujące procedury medyczne: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ręcznego wypełnienia informacji o ilości wykonanych świadczeń,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automatycznego pobierania informacji o ilości wykonanych świadczeń z aplikacji medycznych (Ruch Chorych, Gabinet, Laboratorium, Pracownia itp.).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rozliczenie kosztów: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rozliczenie kosztów ośrodków działalności pomocniczej,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rozliczenie kosztów ośrodków proceduralnych w części dotyczącej zleceń wewnętrznych,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rozliczenie kosztów działalności ośrodków zarządu.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statystyki wykonanych nośników kosztów innych niż procedury medyczne: osobodni, leczonych, łóżek, itp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wycena, sprawozdania i analizy kosztowe OPK i nośników: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bezpośrednich w rozbiciu na koszty rodzajowe,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pośrednich w rozbiciu na koszty rodzajowe,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całkowitych (bezpośrednich + pośrednich) w rozbiciu na koszty rodzajowe,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wytworzenia (całkowitych + zleceń wewnętrznych) w rozbiciu na koszty rodzajowe,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sprzedaży (wytworzenia + zarządu) w rozbiciu na koszty rodzajowe,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jednostkowych nośników kosztów dla OPK,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źródeł pochodzenia kosztów pośrednich,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rozpływu kosztów dla ośrodka na różnych etapach procesu rozdziału kosztów,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kosztów świadczeń wykonywanych w ośrodkach,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analiza uśredniona kosztów świadczeń wykonywanych w jednostce Zamawiającego,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wydruku karty kosztów dla ośrodków,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Koszty (wycena kosztów rzeczywistych)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elastycznego definiowania przez użytkownika zestawień dotyczących zbiorczych informacji na temat rozliczonych kosztów dla ośrodka.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obsługi wielu rejestrów sprzedaży (Centralny Rejestr Sprzedaży),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dostęp do wszystkich rejestrów sprzedaży w placówkach medycznych Zamawiającego,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pracy rejestru sprzedaży w kontekście placówki medycznej Zamawiającego (na wydruku umieszczane powinny być oprócz danych Zamawiającego także dane placówki medycznej wystawiającej fakturę),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dostęp do katalogu kontrahentów i pracowników zintegrowanego z systemem Finansowo-Księgowym, </w:t>
            </w:r>
          </w:p>
        </w:tc>
      </w:tr>
      <w:tr>
        <w:trPr>
          <w:trHeight w:val="1215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dostęp do skorowidza pacjentów zintegrowanego z aplikacjami medycznymi użytkowanymi przez Zamawiającego (Recepcja, Gabinet),  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katalogów (cenników) sprzedawanych składników: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materiałów przeznaczonych do odsprzedaży,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świadczonych usług.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definicja rejestrów sprzedaży i ich powiązanie z rejestrami systemu FK,</w:t>
            </w:r>
          </w:p>
        </w:tc>
      </w:tr>
      <w:tr>
        <w:trPr>
          <w:trHeight w:val="96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określenie sposobu numeracji dokumentów sprzedaży (roczna lub miesięczna), w przypadku numeracji miesięcznej możliwość równoczesnej pracy w wiecej niż jednym miesiącu rozrachunkowym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wprowadzanie dokumentów sprzedaży z możliwością obsługi VAT: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formy płatności,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typu wystawianego dokumentu (faktura, faktura korygująca),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określenie nabywcy (płatnika),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odbiorcy,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zawartości faktury – wybór z cennika sprzedawanych składników,</w:t>
            </w:r>
          </w:p>
        </w:tc>
      </w:tr>
      <w:tr>
        <w:trPr>
          <w:trHeight w:val="1141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automatyczne generowanie faktur w oparciu o dane o wykonanych usługach medycznych z aplikacji medycznych używanych przez Zamawiającego (Recepcja, Gabinet) – dla każdej zrealizowanej odpłatnie usługi medycznej, 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rozdziału stosunku wpływów ze sprzedaży na ośrodki powstawania kosztów.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dokumentu sprzedaży zgodnie z określonym typem wystawianego dokumentu (faktura, faktura korygująca, paragon zafiskalizowany, paragon niezafiskalizowany),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współpracy z drukarkami fiskalnymi,</w:t>
            </w:r>
          </w:p>
        </w:tc>
      </w:tr>
      <w:tr>
        <w:trPr>
          <w:trHeight w:val="72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współpracy z modułem realizującym funkcjonalność z zakresu Finanse – Księgowość na poziomie dekretów do Księgi głównej,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wydruku zestawień na podstawie dokumentów sprzedaży: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rejestru sprzedaży,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zestawienia dokumentów sprzedaży,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zestawienia w podziale na sprzedane usługi,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zestawienia przychodów wg ośrodków powstawania kosztów i wg usług,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zestawienia według nabywców.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wystawianie faktur wewnątrzwspólnotowych.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zapewnienie komunikacji w zakresie JPK, w szczególności: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-- przygotowanie i wysłanie komunikatu JPK_FA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Rejestr sprzedaży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-- odbiór potwierdzenia odbioru (UPO)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obsługi wielu stanowisk kasowych (Centralny Rejestr Kasowy),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dedykowania stanowisk kasowych do placówek medycznych Zamawiającego,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pracy kasy w kontekście placówki medycznej Zamawiającego (na wydruku umieszczane powinny być oprócz danych Zamawiającego także dane placówki medycznej wystawiającej dokument kasowy),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dostęp do raportów kasowych wszystkich stanowisk,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dostęp do katalogu kontrahentów i pracowników zintegrowanego z systemem Finansowo-Księgowym,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dostęp do skorowidza pacjentów zintegrowanego z aplikacjami medycznymi użytkowanymi przez Zamawiającego (Recepcja, Gabinet),  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wprowadzanie dokumentów kasowych dla stanowisk: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automatyczne tworzenie raportu kasowego – praca w kontekście raportu kasowego,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automatyczne generowanie operacji kasowych na stanowiskach dedykowanych dla placówki medycznej w oparciu o wystawiane w niej automatycznie faktury (dla każdej zrealizowanej odpłatnie usługi medycznej) – integracja z fakturowaniem na poziomie placówki  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operacje otwarcia/zamknięcia raportu kasowego,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obsługa operacji gotówkowych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obsługi operacji bezgotówkowych (np. karty płatnicze),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obsługi operacji walutowych,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wprowadzanie dokumentów poprzez schematy księgowań (automatyczne określenie sposobu dekretacji FK),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wydruk dokumentów kasowych.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dodania dodatkowych dekretów uzupełniających w raporcie kasowym przed jego zamknięciem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wydruk raportu kasowego,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bieżące i wsteczne zestawienia stanu kasy na podstawie: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bieżących obrotów,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raportów kasowych.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zapisu wartościowego operacji kasowych na kontach księgi głównej i ksiąg pomocniczych w module realizującym funkcjonalność w zakresie Finanse – Księgowość zgodnie z określonym sposobem dekretacji.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Kasa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drukarek fiskalnych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i zarządzanie środkami trwałymi: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kartotek składników majątku trwałego (ilościowo-wartościowych) obejmujących następujące informacje: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klasyfikacja GUS,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informacji dotyczących przyjęcia,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stawka i metoda amortyzacji,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wartość początkowa,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bieżący stopień zużycia (umorzenia),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bieżąca wartość netto,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miejsce użytkowania,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ośrodki powstawania kosztów (możliwość powiązania jednego środka z kilkoma ośrodkami kosztów),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osoby odpowiedzialne,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żródła finansowania (możliwość przypisanie do środka trwałego kilku źródeł finansowania),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  dla aparatury medycznej dane klasyfikacyjne wg SEWAM, ECRI,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  dane o producencie i kraju,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części składowe środka trwałego (komponentów).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bieżąca informacja o stanie składników majątku trwałego – wydruk informacji z kartotek składników majątku trwałego,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ksiąg inwentarzowych (możliwość wydruku informacji z kartotek zgrupowanych według ksiąg inwentarzowych),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 prowadzenie tabel amortyzacyjnych bilansowych dla każdego składnika majątku trwałego, zawierających: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  informacje nt. planowanych odpisów umorzeniowych (plany amortyzacji),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informacje o realizacji planu amortyzacji – faktycznie dokonanych odpisach umorzeniowych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 prowadzenie tabel amortyzacyjnych bilansowych.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 prowadzenie tabel amortyzacyjnych dla celów podatkowych,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zapisu zawartości tabel amortyzacji w formacie PDF, CSV i MS Excel,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wprowadzenia bilansu otwarcia – ilościowo-wartościowego stanu składników majątku trwałego na dzień rozpoczęcia pracy modułu,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zmian w kartotekach składników majątku trwałego na podstawie dokumentów::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przyjęcia składnika majątku trwałego (środka trwałego),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ulepszenia, zmiany wartości składnika majątku trwałego,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wycofania składnika majątku trwałego z ewidencji bilansowej z uwzględnieniem sposobu wycofania: likwidacja środka trwałego, nieodpłatne przekazania środka trwałego, sprzedaż środka trwałego,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zmiana informacji ewidencyjnych w kartotece składnika majątku trwałego,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naliczenia odpisów umorzeniowych składników majątku trwałego,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aktualizacji wartości składników majątku trwałego (na podstawie rozporządzenia Ministerstwa Finansów,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rozliczenia różnic inwentaryzacyjnych składników majątku trwałego,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zmiany miejsca użytkowania: składników majątku trwałego, części składowych składników majątku trwałego.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prowadzenie i wydruk dziennika dokumentów w układzie miesięcznym,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miesięczny wydruk naliczonej amortyzacji z możliwością podziału na ośrodki powstawania kosztów,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wspieranie obsługi inwentaryzacji składników majątku trwałego: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przygotowania i wydruku arkuszy spisu z natury (również pustych),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wprowadzenia rzeczywistych ilości składników majątku trwałego na podstawie spisu z natury i ich porównanie z wartościami księgowymi,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rozliczenia różnic inwentaryzacyjnych – protokół różnic inwentaryzacyjnych.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integracja z innymi modułami realizującymi funkcjonalność w zakresie: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Finanse – Księgowość: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wartościowego, syntetycznego zapisu zmian w majątku trwałym na kontach księgi głównej FK,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elastycznego tworzenia wzorców eksportu do FK,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wykorzystania słowników FK kontrahentów, rodzajów kosztów, ośrodków powstawania kosztów.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Wycena Kosztów Normatywnych Świadczeń: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Środki trwałe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przesłania danych o miesięcznym potencjale urządzenia (środka trwałego) oraz jego miesięcznej amortyzacji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kartotek składników majątku trwałego (ilościowo-wartościowych) obejmujących: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numer inwentarzowy elementów wyposażenia,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ilość składników danego elementu wyposażenia,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wartość składników danego elementu wyposażenia,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informacje o miejscu użytkowania każdego składnika majątku trwałego.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bieżąca informacja o stanie składników wyposażenia – wydruk informacji z kartotek składników wyposażenia,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ksiąg inwentarzowych (możliwość wydruku informacji z kartotek zgrupowanych według ksiąg inwentarzowych),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zmian w kartotekach składników wyposażenia – ewidencja wpisów w kartotekach inwentarzowych: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definicja typów dokumentów,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wpisów do ksiąg inwentarzowych, na bieżąco modyfikujących stan kartoteki składnika wyposażenia,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wykazy na podstawie dokumentów (wpisów do kartotek inwentarzowych).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wspieranie obsługi inwentaryzacji niskocennych składników majątku trwałego: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przygotowania i wydruku arkuszy spisu z natury,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wprowadzenia rzeczywistych ilości niskocennych składników majątku trwałego na podstawie spisu z natury i ich porównanie z wartościami księgowymi,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rozliczenia różnic inwentaryzacyjnych – protokół różnic inwentaryzacyjnych.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magazynu materiałów: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obsługi wielu magazynów,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określenia asortymentu materiałów ewidencjonowanych w poszczególnych magazynach.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elastyczne tworzenie indeksu materiałowego: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dowolna budowa kodu indeksu materiałowego (ograniczenie jedynie na długość kodu),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przyporządkowania kodów klasyfikacyjnych (PKWiU) do materiału.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kilku metod wyceny rozchodów materiałów: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ceny rzeczywiste – FIFO,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ceny rzeczywiste – LIFO,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ceny rzeczywiste - szczegółowa identyfikacja (wybór z konkretnej dostawy),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ceny ewidencyjne – średnia ważona.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obrotu materiałowego w cyklu miesięcznym (prowadzenie dzienników wprowadzonych dokumentów):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rejestracja bilansu otwarcia dla magazynów – ilościowo-wartościowego stanu zapasów materiałowych na dzień rozpoczęcia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korekty bilansu otwarcia – możliwość automatycznej korekty rozchodów dokonanych z bilansu otwarcia,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przychodów materiałów – różne typy przyjęcia (osobne typy dokumentów) np. związanych z różnymi typami działalności,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korekty przychodów (ilościowe i wartościowe) – możliwość automatycznej korekty rozchodów dokonanych na podstawie skorygowanych dostaw,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rozchodów materiałów zgodnie z przyjętym sposobem wyceny - różne typy rozchodów (osobne typy dokumentów) np. związanych z różnymi typami działalności; kontrola limitów kwotowych dla wydawanych materiałów zgodnie z limitem przypisanym do odbiorcy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powiązania dokumentów rozchodu materiałów z ośrodkami powstawania kosztów dla celów rachunku kosztów,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rozbicie pojedynczych pozycji rozchodu dla celów rachunku kosztów poprzez zastosowanie mechanizmu tzw. „relewów” (wydania z magazynu żywności),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wydruk dokumentu przekazania towaru (PT) na podstawie dokumentu rozchodu wewnętrznego.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dokument korekty rozchodów,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rozchodów zewnętrznych – możliwość ewidencjonowania różnych typów rozchodów (osobne typy dokumentów) np. ze względu na przyczynę przekazania materiałów,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zwrotów od odbiorcy,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przesunięć międzymagazynowych materiałów,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wydruki dokumentów związanych z obrotem materiałowym.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wspieranie obsługi inwentaryzacji stanów magazynowych: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przygotowanie i wydruk arkuszy spisu z natury,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prowadzenia rzeczywistych wartości stanów magazynowych na podstawie spisu z natury i ich porównanie z wartościami księgowymi,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rozliczenia różnic inwentaryzacyjnych – dokument niedoborów,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rozliczenia różnic inwentaryzacyjnych – dokument nadwyżek.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bieżąca informacja o stanach magazynowych: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podgląd i wydruk historii obrotu materiałowego dla poszczególnych asortymentów materiałów,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podgląd i wydruk stanów magazynowych dla wybranych lub wszystkich magazynów,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kontrola przekroczenia stanów minimalnych i maksymalnych.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wykazy i zestawienia: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 podstawie rozchodów: dla wybranych materiałów, dla wybranych grup materiałów,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 podstawie przychodów: dla wybranych materiałów, dla wybranych grup materiałów, dla wybranych rodzajów kosztów,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zestawienia dokumentów zaewidencjonowanych dla poszczególnych magazynów,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karty materiałowej: ilościowej i ilościowo-wartościowej.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wspieranie obsługi zamówień (w tym publicznych):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analizy zużycia: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wyliczania daty, po upływie której skończy się bieżący zapas materiału (na podstawie średniego zużycia za wybrany okres czasu),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tworzenia wykazów towarów, których zapas wystarczy na dłużej niż zadana ilość dni,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tworzenia wykazów towarów, których bieżące zużycie ilościowe za wybrany okres jest większe od średniego zużycia ilościowego za inny porównywalny okres czasu,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tworzenia wykazu materiałów, które zalegają w magazynie powyżej zadanej ilości dni.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integracja z innymi modułami realizującymi funkcjonalność w zakresach: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Finanse – Księgowość: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dostępność funkcji wartościowego, syntetycznego zapisu obrotu materiałowego na kontach księgi głównej FK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elastycznego tworzenia wzorców eksportu do FK,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wykorzystania słowników FK: kontrahentów, rodzajów kosztów, ośrodków powstawania kosztów.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Rachunek kosztów leczenia: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 zakresie udostępnienia danych o aktualnych cenach materiałów do określenia normatywów materiałowych świadczeń,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 zakresie rozchodów materiałów według ośrodków powstawania kosztów w celu porównania z normatywnym zużyciem materiałów wynikającym z ewidencji wykonanych świadczeń.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Środki Trwałe: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przesyłania danych o rozchodach materiałów (urządzeń przyjętych na magazyn) będących, po imporcie w module Środki Trwałe, podstawą do założenia kartoteki środka trwałego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zapewnienie komunikacji w zakresie JPK, w szczególności: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-- przygotowanie i wysłanie komunikatu JPK_MAG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Gospodarka materiałowa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-- odbiór potwierdzenia odbioru (UPO)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podstawowych danych pracowników w układzie chronologicznym: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danych personalnych pracowników: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identyfikacyjne z wykorzystaniem identyfikatorów określonych przepisami prawa podatkowego i ubezpieczeniowego,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meldunkowe z uwzględnieniem aktualnego podziału terytorialnego kraju,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wykształceniu pracownika.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kwalifikacjach uzyskanych przez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trwających i zakończonych specjalizacjach i tytułach zawodowych,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posiadanych uprawnieniach do wykonywania czynności zawodowych,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przyznanych, na mocy odrębnych przepisów prawach do wykonywania zawodu,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podnoszeniu kwalifikacji przez pracownika: ukończonych kursach i studiach dokształcających,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umiejętnościach językowych pracownika z uwzględnieniem stopnia biegłości w posługiwaniu się językiem obcym,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wyodrębnione informacje o ukończonych kursach BHP,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  gromadzenie informacji dotyczących ubezpieczenia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nabytych prawach do świadczeń emerytalno-rentowych,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dotyczące tytułu i zakresu ubezpieczenia społecznego i zdrowotnego (zakres gromadzonych informacji powinien pokrywać się z zakresem danych wymaganych do sporządzenia dokumentów zgłoszeniowych dla potrzeb ubezpieczenia społecznego i zdrowotnego).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przyznanych pracownikom świadczeniach socjalnych,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zdefiniowania wypłaty w/w świadczeń socjalnych na liście płac,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wykonanych przez pracowników obowiązkowych badaniach lekarskich,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na temat stosunku do służby wojskowej pracownika,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członkach rodziny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informacje identyfikacyjne członków rodziny pracownika,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meldunkowe członków rodziny pracownika,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świadczeniach należnych członkom rodziny na mocy przepisów ubezpieczeniowych dotyczących przyznawania i wypłaty zasiłków rodzinnych i pielęgnacyjnych,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dotyczące zakresu ubezpieczenia społecznego i zdrowotnego (zakres gromadzonych informacji powinien pokrywać się z zakresem danych wymaganych do sporządzenia dokumentów zgłoszeniowych dla potrzeb ubezpieczenia społecznego i zdrowotnego członków rodziny pracownika).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historii zatrudnienia pracownika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historii zatrudnienia pracownika poza aktualnym zakładem pracy: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okresie i trybie rozwiązania stosunku pracy w poprzednim zakładzie,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zaliczeniu danej pozycji historii zatrudnienia do stażu pracy dla conajmniej 10 możliwych do zdefiniowania staży (wyróżnionych ze względu na możliwość określenia różnych regulaminów wyliczenia stażu),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informacje o odliczeniach od stażu pracy dla danej pozycji historii zatrudnienia wynikających z urlopu bezpłatnego, wychowawczego lub innych przyczyn określonych przez zakład.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odznaczeniach nadanych pracownikowi,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karach pracownika,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przyznanych pracownikowi nagrodach,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przyznanej odzieży roboczej (z określeniem norm przydziałów dla stanowisk),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zatrudnieniu pracownika w aktualnym zakładzie: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ewidencji informacji o zatrudnieniu pracownika na podstawie różnych stosunków pracy (różne typy umów – umowa o pracę, umowa zlecenie, umowa godzinowa, kontrakty na czynności medyczne),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przechowywanie informacji o historii każdego stosunku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przechowywania informacji o pracy w szczególnych warunkach dla potrzeb ubezpieczenia,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przechowywanie informacji o obowiązku i zakresie ubezpieczenia dla każdego stosunku pracy (zakres gromadzonych informacji powinien pokrywać się z zakresem danych wymaganych do sporządzenia dokumentów zgłoszeniowych dla potrzeb ubezpieczenia społecznego i zdrowotnego),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przechowywanie informacji na temat stażu pracy na dzień rozpoczęcia stosunku pracy: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ręcznego uzupełnienia stażu na dzień rozpoczęcia stosunku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automatycznego wyliczenia stażu na dzień rozpoczęcia umowy,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określenia - wyliczenia co najmniej 10 pozycji stażu pracy wyliczanych na podstawie odrębnych regulaminów.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wyliczenia stażu bieżącego lub stażu na określoną datę na podstawie stażu na dzień rozpoczęcia umowy i przebiegu aktualnego stosunku pracy: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określenia - wyliczenia co najmniej 10 pozycji stażu pracy wyliczanych na podstawie odrębnych regulaminów,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wyliczenia stażu tylko z okresu pracy w bieżącym zakładzie.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nieobecności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przechowywanie informacji o statystyce nieobecności dla stosunku pracy (zbiorcze informacje o przysługujących prawach do urlopu i zarejestrowanych okresach nieobecności pracownika w ramach stosunku pracy) w układzie rocznym, w tym wyróżnienie nieobecności na część dnia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automatyczna modyfikacja statystyki nieobecności po zmianie wymiaru zatrudnienia lub dobowej normy czasu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godzinowego rozliczania urlopów,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przechowywanie informacji o oddelegowaniach pracownika do innych zakładów w ramach stosunku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przechowywanie informacji o aktualnym procencie dodatku stażowego i przewidywanym terminie podwyższenia tego procentu zgodnie z przyjętym regulaminem,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zdefiniowania dla umów pracowników innych niż ogólnie obowiązujących regulaminów obliczania procentu dodatku stażowego,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przechowywanie informacji o planowanym terminie przyznania nagrody jubileuszowej zgodnie z obowiązującym regulaminem przyznawania nagrody za staż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informacje o okresach nieobecności pracownika w ramach stosunku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dla zwolnień chorobowych przechowywanie informacji określonych w przepisach o świadczeniach z ubezpieczenia społecznego w razie choroby i macierzyństwa,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kandydatów do pracy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informacji o kwalifikacjach kandydata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podstawowych danych osobowych kandydata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danych teleadresowych kandydata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odnotowywanie informacji o stanowisku, na jakie kandydat aplikuje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wybierania kandydatów z grona byłych lub aktualnych pracowników jednostki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pozostałe funcje związane z obsługa kadrową pracowników: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przechowywania informacji o szczegółach zatrudnienia pracownika w ramach stosunku pracy z dokładnością do miejsca wykonywania pracy (ośrodka powstawania kosztów) dla potrzeb rachunku kosztów (etaty pracownika):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przechowywanie informacji ewidencyjnych o miejscu zatrudnienia w ramach etatu,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przechowywanie informacji o stanowisku i zawodzie wykonywanym w ramach etatu,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przechowywanie informacji o zaszeregowaniu pracownika w ramach etatu.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dokonywania grupowego przeszeregowania pracowników – grupowa zmiana warunków zaszeregowania w ramach stosunku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prowadzenia miesięcznej ewidencji czasu pracy dla poszczególnych stosunków pracy zgodnie z wymogami prawa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Planowanie i realizacja (na podstawie ofert i planów) szkoleń pracowników, w szczególności: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Wprowadzanie planów rocznych: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na poziomie kierowników jednostek organizacyjnych lub z poziomu działu kadr,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według dostępnych dla pracowników grup personelu, działów.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Zatwierdzanie planów szkoleń przez osoby uprawnione.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odbytych szkoleń: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na poziomie kierowników jednostek organizacyjnych lub z poziomu kadr,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automatyczna rejestracja szkolenia dla pracownika.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Ocena szkoleń.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Ocena firm/podmiotów szkolących.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umów korzyści dla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 umowy lojalnościowe (wraz z rozliczeniem w przypadku zwolnienia pracownika).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Dofinansowanie szkoleń (w tym UE).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czynności analityczno – sprawozdawcze: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elastycznego tworzenia wykazów i zestawień na podstawie danych o pracownikach i ich stosunkach pracy: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tworzenia szablonów wykazów (biblioteka wykazów),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zapisu wykazów w formacie arkusza MS-Excel, HTML, CSV, Open Office.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emisji dokumentów kadrowych na podstawie danych o pracownikach i ich stosunkach pracy: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definiowania szablonów pism (biblioteka pism),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wydruku pism z wykorzystaniem edytora MS-Word, Open Office.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przygotowania i eksportu dokumentów zgłoszeniowych ZUS dla pracowników i ich stosunków do programu ZUS-Płatnik,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mechanizmy ochrony danych osobowych: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Kadry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zdefiniowania dla użytkowników systemu dostępu do danych osobowych tylko dla wybranych pracowników.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Gromadzenie danych podatkowych dotyczących pracownika: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informacje o przynależności do urzędu skarbowego,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informacje o stopie podatku,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informacje o przysługujących pracownikowi kosztach uzyskania przychodu,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informacje o przysługujących pracownikowi ulgach podatkowych.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gromadzenie zbiorczych informacji o naliczonych podstawach i procentach składek na ubezpieczenie społeczne i zdrowotne dla pracownika na podstawie jego stosunków pracy w układzie rocznym,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wyodrębnienia list płac: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podstawowych – generacja wynagrodzenia zasadniczego raz w miesiącu,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dodatkowych – generacja wynagrodzeń dodatkowych w trakcie miesiąca,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dyżurowych – generacja wypłat dyżurów i nadgodzin (możliwość pobrania przygotowanego rozliczenia z Grafików),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premiowych – generacja wypłat premii miesięcznych, kwartalnych, rocznych,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przeszacowanych – ponowne wyliczenie wartości dla pozycji z listy wejściowej (po wstecznej zmianie stawki zaszeregowania) dla wszystkich zależnych składników wynagrodzenia,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zlecenia – generacja wypłat dla umów cywilno-prawnych,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kontrakty – generacja wypłat dla umów kontrakty na czynności medyczne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prawa majątkowe – generacja wypłat dla spadkobierców z określeniem udziału,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osoby niezatrudnione – generacja wypłat dla osób niezatrudnionych.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korzystania w trakcie wypełniania informacji o pracownikach i listach płac z klasyfikacji uzupełnianych przez użytkownika pozwalających na systematyczne grupowanie wprowadzanych danych,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danych do list płacowych: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elastycznego określania sposobu naliczania przez użytkownika składników wypłat (możliwość definiowania algorytmów składników płacowych),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określenia stałych składników wypłat dla każdego stosunku pracy pracownika z możliwością określenia składników wypłat dla każdego miejsca pracy (etatu),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ewidencji ilościowo-wartościowa dyżurów i nadgodzin wypracowanych w ramach stosunku pracy w danym miesiącu z możliwością określenia miejsca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pobierania danych o godzinach dyżurów i nadgodzin z rozliczenia godzin przygotowanego w module realizującym funkcjonalność z zakresu ewidencji czasu pracy,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wprowadzania korekt wypłat wynagrodzenia za dyżury i nadgodziny wypłacone w poprzednich miesiącach (zarówno powiększających jak i zmniejszających wypłatę tego wynagrodzenia).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określenie informacji o przyznanych pracownikowi premiach i nagrodach pieniężnych,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przepisania list premiowych z miesiąca poprzedniego,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przygotowanie nieobecności pracownika dla potrzeb rozliczenia na liście płac: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określenia sposobu rozliczenia dla poszczególnych typów nieobecności,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automatycznego wyliczenia kwot należnych z tytułu nieobecności na podstawie przepisów o świadczeniach z ubezpieczenia społecznego w razie choroby i macierzyństwa, przepisy prawa pracy i przepisy wewnątrz zakładowe,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możliwość dokonania automatycznego przeszacowania nieobecności jeśli podstawa dla wypłaconej już nieobecności powinna zostać wyliczona na nowo z powody zmian w wynagrodzeniu,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rozliczania zwolnień dla umów-zleceń.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informacji o spłacie pożyczek,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informacji o zajęciach sądowych wynagrodzenia pracowników,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 gromadzenie informacji o świadczeniach socjalnych jakie mają zostać wypłacone pracownikom (określenie kwoty, terminu wypłaty),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przygotowanie informacji o wyrównaniach i potrąceniach.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tworzenie list płac poprzez określenie stosunków pracy rozliczanych w ramach listy,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utworzenia listy płac poprzez przepisanie informacji z miesiąca poprzedniego,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automatyczne naliczenie wynagrodzeń pracowników na podstawie danych podatkowych i danych przygotowanych dla list płacowych: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naliczenie przychodów,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-    naliczenie potrąceń,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naliczenie składek na ubezpieczenie społeczne,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naliczenie składek na ubezpieczenie zdrowotne,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naliczenie podatków,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bieżąca kontrola i sygnalizacja poprawności dokonywanych naliczeń.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ręcznej korekty, uzupełnienia wyliczeń dokonanych automatycznie,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potwierdzenie poprawności dokonanych wyliczeń – zatwierdzenie listy płac.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przygotowania i emisji przelewów dla naliczonych wynagrodzeń: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wydruku przelewów w formie papierowej,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wydruku przelewów zbiorczych,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emisji przelewów w formie elektronicznej z wykorzystaniem systemu bankowości elektronicznej.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wydruku podstawowych zestawień: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lista płac,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paski wynagrodzeń dla pracowników, w tym możliwość definiowania własnych wzorów pasków (utajnione),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karta wynagrodzeń pracownika,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karta zasiłkowa pracownika,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formularze rozliczeniowe PIT,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emisji danych z formularzy rozliczeniowych PIT w postaci plików XML,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zestawienia nominałów dla list płac.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zamknięcie miesiąca płacowego: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kontrola rozliczenia na listach płacowych wszystkich przygotowanych składników wypłat,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kontrola przekroczenia przez pracowników progów podatkowych.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Symulacja wypłaty wynagrodzenia na podstawie wprowadzonych parametrów dotyczących sposobu pobierania wynagrodzenia z umowy. Każda z symulacji obejmuje grupę umów, dla których jest ona wykonywana.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elastycznego tworzenia wykazów i zestawień, dostosowanych do potrzeb Zamawiającego, na podstawie danych o naliczonych wynagrodzeniach: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tworzenia szablonów wykazów (biblioteka wykazów),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zapisu wykazów w formacie arkusza MS-Excel, HTML ,CSV, Open Office.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emisji dokumentów płacowych (pism, zaświadczeń) na podstawie danych o naliczonych wynagrodzeniach: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definiowania szablonów pism (biblioteka pism),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wydruku pism z wykorzystaniem edytora MS-Word, Open Office.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tworzenia sprawozdań DEK-I-0, Z-02, Z-03, Z-05, Z-06, Z-12, PNT-01  oraz definiowanie własnych sprawozdań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prowadzenie rejestru dochodów: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przeglądu danych o dochodach pracownika naliczonych na listach płac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 układzie miesięcznym,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automatyczne uzupełnianie rejestru dochodów podczas generacji list płac.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współpraca z systemem Finanse-Księgowość: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zapisu informacji wartościowych o wynagrodzeniach pracowników na kontach księgi głównej i ksiąg pomocniczych modułu realizującego funkcjonalność z zakresu Finanse-Księgowość,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elastycznego określenia sposobu zapisu wynagrodzeń w module realizującym funkcjonalność z zakresu Finanse-Księgowość (definicja szablonów eksportu),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 xml:space="preserve">możliwość przygotowania i eksportu dokumentów rozliczeniowych ZUS dla pracowników i ich stosunków do programu ZUS-Płatnik. 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obsługa kas pożyczkowych: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możliwość obsługi wielu kas pożyczkowych,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zbieranych składek (kasy PKZP),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ewidencja udzielonych pożyczek: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poręczycieli,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wypłaty pożyczki na liście płac,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określenie sposobu spłaty (generacja planu spłaty rat pożyczki),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ewidencja bieżącego stanu zadłużenia,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możliwość przeglądu historii spłaty pożyczki.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generacja zestawień dotyczących kas: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bilans kasy,</w:t>
            </w:r>
          </w:p>
        </w:tc>
      </w:tr>
      <w:tr>
        <w:trPr>
          <w:trHeight w:val="600" w:hRule="atLeast"/>
        </w:trPr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bCs/>
                <w:color w:val="000000"/>
                <w:sz w:val="22"/>
                <w:szCs w:val="22"/>
              </w:rPr>
              <w:t>Płace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ascii="Calibri" w:hAnsi="Calibri" w:cs="Arial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color w:val="000000"/>
                <w:sz w:val="18"/>
                <w:szCs w:val="18"/>
              </w:rPr>
              <w:t>-    raport o stanie zadłużenia i spłaty.</w:t>
            </w:r>
          </w:p>
        </w:tc>
      </w:tr>
    </w:tbl>
    <w:p>
      <w:pPr>
        <w:pStyle w:val="Normal"/>
        <w:spacing w:lineRule="auto" w:line="480"/>
        <w:rPr/>
      </w:pPr>
      <w:r>
        <w:rPr/>
      </w:r>
    </w:p>
    <w:sectPr>
      <w:footerReference w:type="default" r:id="rId2"/>
      <w:type w:val="nextPage"/>
      <w:pgSz w:w="11906" w:h="16838"/>
      <w:pgMar w:left="993" w:right="566" w:header="0" w:top="284" w:footer="708" w:bottom="765" w:gutter="0"/>
      <w:pgNumType w:fmt="decimal"/>
      <w:formProt w:val="false"/>
      <w:textDirection w:val="lrTb"/>
      <w:docGrid w:type="default" w:linePitch="32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26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  <w:b w:val="false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b w:val="false"/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  <w:b w:val="false"/>
        <w:rFonts w:cs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616"/>
        </w:tabs>
        <w:ind w:left="616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>
    <w:name w:val="Default Paragraph Font"/>
    <w:qFormat/>
    <w:rPr/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TytuZnak">
    <w:name w:val="Tytuł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ListLabel1">
    <w:name w:val="ListLabel 1"/>
    <w:qFormat/>
    <w:rPr>
      <w:rFonts w:ascii="Arial" w:hAnsi="Arial" w:cs="Times New Roman"/>
      <w:b w:val="false"/>
      <w:color w:val="00000A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/>
      <w:b w:val="false"/>
      <w:color w:val="00000A"/>
      <w:sz w:val="20"/>
    </w:rPr>
  </w:style>
  <w:style w:type="character" w:styleId="ListLabel4">
    <w:name w:val="ListLabel 4"/>
    <w:qFormat/>
    <w:rPr>
      <w:b w:val="false"/>
      <w:sz w:val="18"/>
    </w:rPr>
  </w:style>
  <w:style w:type="character" w:styleId="WW8Num2z0">
    <w:name w:val="WW8Num2z0"/>
    <w:qFormat/>
    <w:rPr>
      <w:b w:val="false"/>
      <w:bCs w:val="false"/>
    </w:rPr>
  </w:style>
  <w:style w:type="character" w:styleId="ListLabel5">
    <w:name w:val="ListLabel 5"/>
    <w:qFormat/>
    <w:rPr>
      <w:rFonts w:ascii="Arial" w:hAnsi="Arial" w:cs="Times New Roman"/>
      <w:b w:val="false"/>
      <w:color w:val="00000A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Arial" w:hAnsi="Arial" w:cs="Symbol"/>
      <w:b w:val="false"/>
      <w:color w:val="00000A"/>
      <w:sz w:val="20"/>
    </w:rPr>
  </w:style>
  <w:style w:type="character" w:styleId="ListLabel10">
    <w:name w:val="ListLabel 10"/>
    <w:qFormat/>
    <w:rPr>
      <w:rFonts w:ascii="Calibri" w:hAnsi="Calibri"/>
      <w:b w:val="false"/>
      <w:sz w:val="18"/>
    </w:rPr>
  </w:style>
  <w:style w:type="character" w:styleId="ListLabel11">
    <w:name w:val="ListLabel 11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/>
    <w:rPr>
      <w:b w:val="false"/>
      <w:lang w:val="x-none" w:eastAsia="x-none"/>
    </w:rPr>
  </w:style>
  <w:style w:type="paragraph" w:styleId="Tytu">
    <w:name w:val="Tytuł"/>
    <w:basedOn w:val="Normal"/>
    <w:pPr>
      <w:widowControl w:val="false"/>
      <w:spacing w:lineRule="auto" w:line="276"/>
      <w:ind w:left="800" w:right="0" w:hanging="800"/>
      <w:jc w:val="center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numbering" w:styleId="NoList">
    <w:name w:val="No List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LibreOffice/5.0.1.2$Windows_X86_64 LibreOffice_project/81898c9f5c0d43f3473ba111d7b351050be20261</Application>
  <Paragraphs>1212</Paragraphs>
  <Company>szpital powiatowy w opocznie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2016-11-23T12:38:00Z</dcterms:created>
  <dc:creator>spzozopoczno</dc:creator>
  <dc:language>pl-PL</dc:language>
  <cp:lastPrinted>2016-12-08T10:41:04Z</cp:lastPrinted>
  <dcterms:modified xsi:type="dcterms:W3CDTF">2016-12-08T10:42:10Z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szpital powiatowy w opocznie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